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70AE47"/>
          <w:sz w:val="40"/>
          <w:szCs w:val="40"/>
        </w:rPr>
      </w:pPr>
      <w:r>
        <w:rPr>
          <w:rFonts w:ascii="Calibri-Light" w:hAnsi="Calibri-Light" w:cs="Calibri-Light"/>
          <w:color w:val="70AE47"/>
          <w:sz w:val="40"/>
          <w:szCs w:val="40"/>
        </w:rPr>
        <w:t>Bando “INTERVENTI A FAVORE DELLE ATTIVITÀ COMMERCIALI”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70AE47"/>
          <w:sz w:val="40"/>
          <w:szCs w:val="40"/>
        </w:rPr>
      </w:pP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70AE47"/>
          <w:sz w:val="40"/>
          <w:szCs w:val="40"/>
        </w:rPr>
      </w:pPr>
      <w:r>
        <w:rPr>
          <w:rFonts w:ascii="Calibri-Light" w:hAnsi="Calibri-Light" w:cs="Calibri-Light"/>
          <w:color w:val="70AE47"/>
          <w:sz w:val="40"/>
          <w:szCs w:val="40"/>
        </w:rPr>
        <w:t>Schema di sintesi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70AE47"/>
        </w:rPr>
      </w:pP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  <w:r>
        <w:rPr>
          <w:rFonts w:ascii="Calibri-Light" w:hAnsi="Calibri-Light" w:cs="Calibri-Light"/>
          <w:color w:val="70AE47"/>
        </w:rPr>
        <w:t>CARATTERISTICHE DELL’AGEVOLAZIONE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L’agevolazione consiste in un contributo a fondo perduto nella misura massima del 50% delle spese ammesse.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Importo massimo del contributo: € 10.000,00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Investimento minimo: € 2.000,00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Gli interventi dovranno essere effettuati e rendicontati entro il 30 novembre 2020.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  <w:r>
        <w:rPr>
          <w:rFonts w:ascii="Calibri-Light" w:hAnsi="Calibri-Light" w:cs="Calibri-Light"/>
          <w:color w:val="70AE47"/>
        </w:rPr>
        <w:t>SOGGETTI BENEFICIARI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Possono beneficiare dell’iniziativa: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1. Micro, Piccole e Medie Imprese, singole, in partenariato o costituite in Rete di Imprese:</w:t>
      </w:r>
    </w:p>
    <w:p w:rsidR="00DD0E44" w:rsidRPr="00DD0E44" w:rsidRDefault="00DD0E44" w:rsidP="00DD0E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Italic" w:hAnsi="Calibri-LightItalic" w:cs="Calibri-LightItalic"/>
          <w:i/>
          <w:iCs/>
          <w:color w:val="000000"/>
        </w:rPr>
      </w:pPr>
      <w:r w:rsidRPr="00DD0E44">
        <w:rPr>
          <w:rFonts w:ascii="Calibri-Light" w:hAnsi="Calibri-Light" w:cs="Calibri-Light"/>
          <w:color w:val="000000"/>
        </w:rPr>
        <w:t xml:space="preserve">iscritte al Registro delle Imprese e risultare attive con codice </w:t>
      </w:r>
      <w:r w:rsidRPr="00DD0E44">
        <w:rPr>
          <w:rFonts w:ascii="Calibri-LightItalic" w:hAnsi="Calibri-LightItalic" w:cs="Calibri-LightItalic"/>
          <w:i/>
          <w:iCs/>
          <w:color w:val="000000"/>
        </w:rPr>
        <w:t>ATECO (VEDI ALLEGATO 1);</w:t>
      </w:r>
    </w:p>
    <w:p w:rsidR="00DD0E44" w:rsidRPr="00DD0E44" w:rsidRDefault="00DD0E44" w:rsidP="00DD0E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 xml:space="preserve">con una unità locale ed operativa ubicata all’interno del Distretto del Commercio “Percorsi di </w:t>
      </w:r>
      <w:proofErr w:type="spellStart"/>
      <w:r w:rsidRPr="00DD0E44">
        <w:rPr>
          <w:rFonts w:ascii="Calibri-Light" w:hAnsi="Calibri-Light" w:cs="Calibri-Light"/>
          <w:color w:val="000000"/>
        </w:rPr>
        <w:t>Valchiavenna</w:t>
      </w:r>
      <w:proofErr w:type="spellEnd"/>
      <w:r w:rsidRPr="00DD0E44">
        <w:rPr>
          <w:rFonts w:ascii="Calibri-Light" w:hAnsi="Calibri-Light" w:cs="Calibri-Light"/>
          <w:color w:val="000000"/>
        </w:rPr>
        <w:t xml:space="preserve"> le vie dei </w:t>
      </w:r>
      <w:proofErr w:type="spellStart"/>
      <w:r w:rsidRPr="00DD0E44">
        <w:rPr>
          <w:rFonts w:ascii="Calibri-Light" w:hAnsi="Calibri-Light" w:cs="Calibri-Light"/>
          <w:color w:val="000000"/>
        </w:rPr>
        <w:t>crotti</w:t>
      </w:r>
      <w:proofErr w:type="spellEnd"/>
      <w:r w:rsidRPr="00DD0E44">
        <w:rPr>
          <w:rFonts w:ascii="Calibri-Light" w:hAnsi="Calibri-Light" w:cs="Calibri-Light"/>
          <w:color w:val="000000"/>
        </w:rPr>
        <w:t xml:space="preserve">, le vie del Commercio” (CAMPODOLCINO, CHIAVENNA, GORDONA, MADESIMO, MESE, PIURO, PRATA CAMPORTACCIO, SAMOLACO, SAN GIACOMO FILIPPO, VILLA </w:t>
      </w:r>
      <w:proofErr w:type="spellStart"/>
      <w:r w:rsidRPr="00DD0E44">
        <w:rPr>
          <w:rFonts w:ascii="Calibri-Light" w:hAnsi="Calibri-Light" w:cs="Calibri-Light"/>
          <w:color w:val="000000"/>
        </w:rPr>
        <w:t>DI</w:t>
      </w:r>
      <w:proofErr w:type="spellEnd"/>
      <w:r w:rsidRPr="00DD0E44">
        <w:rPr>
          <w:rFonts w:ascii="Calibri-Light" w:hAnsi="Calibri-Light" w:cs="Calibri-Light"/>
          <w:color w:val="000000"/>
        </w:rPr>
        <w:t xml:space="preserve"> CHIAVENNA, NOVATE MEZZOLA, VERCEIA);</w:t>
      </w:r>
    </w:p>
    <w:p w:rsidR="00DD0E44" w:rsidRPr="00DD0E44" w:rsidRDefault="00DD0E44" w:rsidP="00DD0E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svolgente attività di ristorazione, somministrazione o vendita diretta al dettaglio di beni o servizi, con vetrina su strada o situata al piano terreno degli edifici;</w:t>
      </w:r>
    </w:p>
    <w:p w:rsidR="00DD0E44" w:rsidRPr="00DD0E44" w:rsidRDefault="00DD0E44" w:rsidP="00DD0E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i fornitori di servizi tecnologici innovativi di logistica, trasporto e consegna a domicilio devono provvedere nei confronti delle imprese del commercio, della ristorazione, del terziario e dell’artigianato in tutto o in parte il territorio del Distretto del Commercio.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2. Aspiranti imprenditori che avviino prima dell’erogazione dell’agevolazione una attività economica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che soddisfi i requisiti sopra previsti.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  <w:r>
        <w:rPr>
          <w:rFonts w:ascii="Calibri-Light" w:hAnsi="Calibri-Light" w:cs="Calibri-Light"/>
          <w:color w:val="70AE47"/>
        </w:rPr>
        <w:t>SPESE AMMISSIBILI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Sono considerate ammissibili le seguenti voci di spesa, sostenute a far data dal 5 maggio 2020.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</w:p>
    <w:p w:rsidR="00DD0E44" w:rsidRP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  <w:u w:val="single"/>
        </w:rPr>
      </w:pPr>
      <w:r w:rsidRPr="00DD0E44">
        <w:rPr>
          <w:rFonts w:ascii="Calibri-Light" w:hAnsi="Calibri-Light" w:cs="Calibri-Light"/>
          <w:color w:val="000000"/>
          <w:u w:val="single"/>
        </w:rPr>
        <w:t>Spese in conto capitale</w:t>
      </w:r>
    </w:p>
    <w:p w:rsidR="00DD0E44" w:rsidRPr="00DD0E44" w:rsidRDefault="00DD0E44" w:rsidP="00DD0E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Opere edili private (ristrutturazione, ammodernamento dei locali, lavori su facciate ed esterni ecc.);</w:t>
      </w:r>
    </w:p>
    <w:p w:rsidR="00DD0E44" w:rsidRPr="00DD0E44" w:rsidRDefault="00DD0E44" w:rsidP="00DD0E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Installazione o ammodernamento di impianti;</w:t>
      </w:r>
    </w:p>
    <w:p w:rsidR="00DD0E44" w:rsidRPr="00DD0E44" w:rsidRDefault="00DD0E44" w:rsidP="00DD0E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Arredi e strutture temporanee;</w:t>
      </w:r>
    </w:p>
    <w:p w:rsidR="00DD0E44" w:rsidRPr="00DD0E44" w:rsidRDefault="00DD0E44" w:rsidP="00DD0E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Macchinari, attrezzature ed apparecchi, comprese le spese di installazione strettamente collegate;</w:t>
      </w:r>
    </w:p>
    <w:p w:rsidR="00DD0E44" w:rsidRPr="00DD0E44" w:rsidRDefault="00DD0E44" w:rsidP="00DD0E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Veicoli da destinare alla consegna a domicilio o all’erogazione di servizi comuni;</w:t>
      </w:r>
    </w:p>
    <w:p w:rsidR="00DD0E44" w:rsidRPr="00DD0E44" w:rsidRDefault="00DD0E44" w:rsidP="00DD0E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Realizzazione, acquisto o acquisizione tramite licenza pluriennale di software, piattaforme</w:t>
      </w:r>
    </w:p>
    <w:p w:rsidR="00DD0E44" w:rsidRPr="00DD0E44" w:rsidRDefault="00DD0E44" w:rsidP="00DD0E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 xml:space="preserve">informatiche, applicazioni per </w:t>
      </w:r>
      <w:proofErr w:type="spellStart"/>
      <w:r w:rsidRPr="00DD0E44">
        <w:rPr>
          <w:rFonts w:ascii="Calibri-Light" w:hAnsi="Calibri-Light" w:cs="Calibri-Light"/>
          <w:color w:val="000000"/>
        </w:rPr>
        <w:t>smartphone</w:t>
      </w:r>
      <w:proofErr w:type="spellEnd"/>
      <w:r w:rsidRPr="00DD0E44">
        <w:rPr>
          <w:rFonts w:ascii="Calibri-Light" w:hAnsi="Calibri-Light" w:cs="Calibri-Light"/>
          <w:color w:val="000000"/>
        </w:rPr>
        <w:t>, siti web ecc.</w:t>
      </w:r>
    </w:p>
    <w:p w:rsidR="00DD0E44" w:rsidRDefault="00DD0E44" w:rsidP="00DD0E44">
      <w:pPr>
        <w:jc w:val="both"/>
        <w:rPr>
          <w:rFonts w:ascii="Calibri-Light" w:hAnsi="Calibri-Light" w:cs="Calibri-Light"/>
          <w:color w:val="000000"/>
        </w:rPr>
      </w:pPr>
    </w:p>
    <w:p w:rsidR="00DD0E44" w:rsidRPr="00DD0E44" w:rsidRDefault="00DD0E44" w:rsidP="00DD0E44">
      <w:pPr>
        <w:spacing w:after="0"/>
        <w:jc w:val="both"/>
        <w:rPr>
          <w:rFonts w:ascii="Calibri-Light" w:hAnsi="Calibri-Light" w:cs="Calibri-Light"/>
          <w:color w:val="000000"/>
          <w:u w:val="single"/>
        </w:rPr>
      </w:pPr>
      <w:r w:rsidRPr="00DD0E44">
        <w:rPr>
          <w:rFonts w:ascii="Calibri-Light" w:hAnsi="Calibri-Light" w:cs="Calibri-Light"/>
          <w:color w:val="000000"/>
          <w:u w:val="single"/>
        </w:rPr>
        <w:t>Spese di parte corrente</w:t>
      </w:r>
    </w:p>
    <w:p w:rsidR="00DD0E44" w:rsidRDefault="00DD0E44" w:rsidP="00DD0E44">
      <w:pPr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Nella misura massima del 50% della domanda di finanziamento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Materiali di consumo per la protezione dei lavoratori e dei consumatori e per la pulizia e sanificazione dei locali e delle merci;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 xml:space="preserve">Canoni annuali per l’utilizzo di software, piattaforme informatiche, applicazioni per </w:t>
      </w:r>
      <w:proofErr w:type="spellStart"/>
      <w:r w:rsidRPr="00DD0E44">
        <w:rPr>
          <w:rFonts w:ascii="Calibri-Light" w:hAnsi="Calibri-Light" w:cs="Calibri-Light"/>
          <w:color w:val="000000"/>
        </w:rPr>
        <w:t>smartphone</w:t>
      </w:r>
      <w:proofErr w:type="spellEnd"/>
      <w:r w:rsidRPr="00DD0E44">
        <w:rPr>
          <w:rFonts w:ascii="Calibri-Light" w:hAnsi="Calibri-Light" w:cs="Calibri-Light"/>
          <w:color w:val="000000"/>
        </w:rPr>
        <w:t>, siti web ecc.;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Spese per l’acquisizione di servizi di vendita online e consegna a domicilio;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lastRenderedPageBreak/>
        <w:t>Servizi per la pulizia e la sanificazione dei locali e delle merci;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 xml:space="preserve">Spese di promozione, comunicazione e informazione ad imprese e consumatori (materiali cartacei, pubblicazioni e annunci sui mezzi di informazione, comunicazione sui social </w:t>
      </w:r>
      <w:proofErr w:type="spellStart"/>
      <w:r w:rsidRPr="00DD0E44">
        <w:rPr>
          <w:rFonts w:ascii="Calibri-Light" w:hAnsi="Calibri-Light" w:cs="Calibri-Light"/>
          <w:color w:val="000000"/>
        </w:rPr>
        <w:t>networks</w:t>
      </w:r>
      <w:proofErr w:type="spellEnd"/>
      <w:r w:rsidRPr="00DD0E44">
        <w:rPr>
          <w:rFonts w:ascii="Calibri-Light" w:hAnsi="Calibri-Light" w:cs="Calibri-Light"/>
          <w:color w:val="000000"/>
        </w:rPr>
        <w:t xml:space="preserve"> ecc.);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Formazione in tema di sicurezza e protezione di lavoratori e consumatori, comunicazione e marketing, tecnologie digitali;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Spese di gestione energia elettrica telefono, commercialista, affitto dei locali per esercizio attività d’impresa fino ad un massimo 10% delle spese totali ammissibili;</w:t>
      </w:r>
    </w:p>
    <w:p w:rsidR="00DD0E44" w:rsidRPr="00DD0E44" w:rsidRDefault="00DD0E44" w:rsidP="00DD0E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 w:rsidRPr="00DD0E44">
        <w:rPr>
          <w:rFonts w:ascii="Calibri-Light" w:hAnsi="Calibri-Light" w:cs="Calibri-Light"/>
          <w:color w:val="000000"/>
        </w:rPr>
        <w:t>Acquisto delle scorte fino ad un massimo del 10% delle spese totali ammissibili.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  <w:r>
        <w:rPr>
          <w:rFonts w:ascii="Calibri-Light" w:hAnsi="Calibri-Light" w:cs="Calibri-Light"/>
          <w:color w:val="70AE47"/>
        </w:rPr>
        <w:t xml:space="preserve">REGIME </w:t>
      </w:r>
      <w:proofErr w:type="spellStart"/>
      <w:r>
        <w:rPr>
          <w:rFonts w:ascii="Calibri-Light" w:hAnsi="Calibri-Light" w:cs="Calibri-Light"/>
          <w:color w:val="70AE47"/>
        </w:rPr>
        <w:t>DI</w:t>
      </w:r>
      <w:proofErr w:type="spellEnd"/>
      <w:r>
        <w:rPr>
          <w:rFonts w:ascii="Calibri-Light" w:hAnsi="Calibri-Light" w:cs="Calibri-Light"/>
          <w:color w:val="70AE47"/>
        </w:rPr>
        <w:t xml:space="preserve"> AIUTO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 xml:space="preserve">Nel caso in cui gli investimenti vengano liquidati entro il 31/12/2020 non si applicherà il regolamento “de </w:t>
      </w:r>
      <w:proofErr w:type="spellStart"/>
      <w:r>
        <w:rPr>
          <w:rFonts w:ascii="Calibri-Light" w:hAnsi="Calibri-Light" w:cs="Calibri-Light"/>
          <w:color w:val="000000"/>
        </w:rPr>
        <w:t>minimis</w:t>
      </w:r>
      <w:proofErr w:type="spellEnd"/>
      <w:r>
        <w:rPr>
          <w:rFonts w:ascii="Calibri-Light" w:hAnsi="Calibri-Light" w:cs="Calibri-Light"/>
          <w:color w:val="000000"/>
        </w:rPr>
        <w:t>” e gli aiuti verranno inquadrati nell’ambito del “Quadro temporaneo” di cui alla Comunicazione C (2020) 1863 della Commissione Europea, non essere in difficoltà, secondo la definizione di cui all’art. 2 comma 18 del Regolamento (UE) 651/2014, alla data del 31/12/2019.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70AE47"/>
        </w:rPr>
      </w:pPr>
      <w:r>
        <w:rPr>
          <w:rFonts w:ascii="Calibri-Light" w:hAnsi="Calibri-Light" w:cs="Calibri-Light"/>
          <w:color w:val="70AE47"/>
        </w:rPr>
        <w:t>PRESENTAZIONE DELLE DOMANDE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Le domande potranno essere presentate dalle ore 09.00 del giorno 13 luglio 2020 ed entro le ore 12.00 del giorno 03 agosto 2020 alle ore 12.00.</w:t>
      </w:r>
    </w:p>
    <w:p w:rsidR="00DD0E44" w:rsidRDefault="00DD0E44" w:rsidP="00DD0E44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000000"/>
        </w:rPr>
      </w:pPr>
    </w:p>
    <w:p w:rsidR="00DD0E44" w:rsidRDefault="00DD0E44" w:rsidP="00DD0E44">
      <w:pPr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La procedura sarà valutativa con graduatoria finale.</w:t>
      </w:r>
    </w:p>
    <w:p w:rsidR="00BF664D" w:rsidRDefault="00BF664D" w:rsidP="00DD0E44">
      <w:pPr>
        <w:jc w:val="both"/>
        <w:rPr>
          <w:rFonts w:ascii="Calibri-Light" w:hAnsi="Calibri-Light" w:cs="Calibri-Light"/>
          <w:color w:val="000000"/>
        </w:rPr>
      </w:pPr>
    </w:p>
    <w:p w:rsidR="00BF664D" w:rsidRDefault="00BF664D" w:rsidP="00DD0E44">
      <w:pPr>
        <w:jc w:val="both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 xml:space="preserve">Per informazioni contattare l’Ufficio Categorie e Mercato della sede, </w:t>
      </w:r>
      <w:proofErr w:type="spellStart"/>
      <w:r>
        <w:rPr>
          <w:rFonts w:ascii="Calibri-Light" w:hAnsi="Calibri-Light" w:cs="Calibri-Light"/>
          <w:color w:val="000000"/>
        </w:rPr>
        <w:t>ref</w:t>
      </w:r>
      <w:proofErr w:type="spellEnd"/>
      <w:r>
        <w:rPr>
          <w:rFonts w:ascii="Calibri-Light" w:hAnsi="Calibri-Light" w:cs="Calibri-Light"/>
          <w:color w:val="000000"/>
        </w:rPr>
        <w:t xml:space="preserve">. Alberto Romagna </w:t>
      </w:r>
      <w:proofErr w:type="spellStart"/>
      <w:r>
        <w:rPr>
          <w:rFonts w:ascii="Calibri-Light" w:hAnsi="Calibri-Light" w:cs="Calibri-Light"/>
          <w:color w:val="000000"/>
        </w:rPr>
        <w:t>Laini</w:t>
      </w:r>
      <w:proofErr w:type="spellEnd"/>
      <w:r>
        <w:rPr>
          <w:rFonts w:ascii="Calibri-Light" w:hAnsi="Calibri-Light" w:cs="Calibri-Light"/>
          <w:color w:val="000000"/>
        </w:rPr>
        <w:t xml:space="preserve">, Tel. 0342514343, mail: </w:t>
      </w:r>
      <w:hyperlink r:id="rId5" w:history="1">
        <w:r w:rsidRPr="009D7B2A">
          <w:rPr>
            <w:rStyle w:val="Collegamentoipertestuale"/>
            <w:rFonts w:ascii="Calibri-Light" w:hAnsi="Calibri-Light" w:cs="Calibri-Light"/>
          </w:rPr>
          <w:t>alberto.romagnalaini@artigiani.sondrio.it</w:t>
        </w:r>
      </w:hyperlink>
      <w:r>
        <w:rPr>
          <w:rFonts w:ascii="Calibri-Light" w:hAnsi="Calibri-Light" w:cs="Calibri-Light"/>
          <w:color w:val="000000"/>
        </w:rPr>
        <w:t>.</w:t>
      </w:r>
    </w:p>
    <w:p w:rsidR="00BF664D" w:rsidRDefault="00BF664D" w:rsidP="00DD0E44">
      <w:pPr>
        <w:jc w:val="both"/>
      </w:pPr>
    </w:p>
    <w:sectPr w:rsidR="00BF664D" w:rsidSect="003F2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B3C"/>
    <w:multiLevelType w:val="hybridMultilevel"/>
    <w:tmpl w:val="E638B6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D14"/>
    <w:multiLevelType w:val="hybridMultilevel"/>
    <w:tmpl w:val="75E2FDE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93B15"/>
    <w:multiLevelType w:val="hybridMultilevel"/>
    <w:tmpl w:val="B40A84D6"/>
    <w:lvl w:ilvl="0" w:tplc="8DC06F7E">
      <w:numFmt w:val="bullet"/>
      <w:lvlText w:val="−"/>
      <w:lvlJc w:val="left"/>
      <w:pPr>
        <w:ind w:left="720" w:hanging="360"/>
      </w:pPr>
      <w:rPr>
        <w:rFonts w:ascii="SymbolMT" w:eastAsiaTheme="minorHAnsi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61C41"/>
    <w:multiLevelType w:val="hybridMultilevel"/>
    <w:tmpl w:val="43F47C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1F1"/>
    <w:multiLevelType w:val="hybridMultilevel"/>
    <w:tmpl w:val="84066C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E1288"/>
    <w:multiLevelType w:val="hybridMultilevel"/>
    <w:tmpl w:val="3886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E44"/>
    <w:rsid w:val="00250D33"/>
    <w:rsid w:val="003F2F54"/>
    <w:rsid w:val="00BF664D"/>
    <w:rsid w:val="00DD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E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erto.romagnalaini@artigiani.sondr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3443</Characters>
  <Application>Microsoft Office Word</Application>
  <DocSecurity>0</DocSecurity>
  <Lines>28</Lines>
  <Paragraphs>8</Paragraphs>
  <ScaleCrop>false</ScaleCrop>
  <Company>Unidata Srl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alberto.romagnalaini</dc:creator>
  <cp:keywords/>
  <dc:description/>
  <cp:lastModifiedBy>alberto.romagnalaini</cp:lastModifiedBy>
  <cp:revision>3</cp:revision>
  <dcterms:created xsi:type="dcterms:W3CDTF">2020-07-10T10:14:00Z</dcterms:created>
  <dcterms:modified xsi:type="dcterms:W3CDTF">2020-07-10T10:35:00Z</dcterms:modified>
</cp:coreProperties>
</file>